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/>
          <w:bCs/>
          <w:sz w:val="30"/>
          <w:szCs w:val="30"/>
          <w:lang w:eastAsia="zh-CN"/>
        </w:rPr>
        <w:t>数学与统计学院</w:t>
      </w:r>
      <w:r>
        <w:rPr>
          <w:rFonts w:hint="eastAsia"/>
          <w:b/>
          <w:bCs/>
          <w:sz w:val="30"/>
          <w:szCs w:val="30"/>
          <w:lang w:val="en-US" w:eastAsia="zh-CN"/>
        </w:rPr>
        <w:t>2017年硕士研究生统招指标公示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最终公开招考指标：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全日制学硕28名                  </w:t>
      </w:r>
      <w:bookmarkStart w:id="0" w:name="_GoBack"/>
      <w:bookmarkEnd w:id="0"/>
      <w:r>
        <w:rPr>
          <w:rFonts w:hint="eastAsia"/>
          <w:b/>
          <w:bCs/>
          <w:sz w:val="24"/>
          <w:szCs w:val="24"/>
          <w:lang w:val="en-US" w:eastAsia="zh-CN"/>
        </w:rPr>
        <w:t>全日制专硕11名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                         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数学与统计学院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                             2017年3月10日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2547A"/>
    <w:rsid w:val="342962FF"/>
    <w:rsid w:val="64C87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2017-03-10T12:17:16Z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